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1051" w14:textId="77777777" w:rsidR="00747EE7" w:rsidRDefault="00760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OSTU-MÜÜGI LEPING </w:t>
      </w:r>
    </w:p>
    <w:tbl>
      <w:tblPr>
        <w:tblStyle w:val="a"/>
        <w:tblW w:w="35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</w:tblGrid>
      <w:tr w:rsidR="00747EE7" w14:paraId="241BA4D1" w14:textId="77777777">
        <w:trPr>
          <w:jc w:val="center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C7CB" w14:textId="77777777" w:rsidR="00747EE7" w:rsidRDefault="00760090">
            <w:pPr>
              <w:spacing w:line="276" w:lineRule="auto"/>
              <w:ind w:left="0" w:hanging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Lepingu number </w:t>
            </w:r>
          </w:p>
        </w:tc>
      </w:tr>
    </w:tbl>
    <w:p w14:paraId="538EB93F" w14:textId="77777777" w:rsidR="00747EE7" w:rsidRDefault="00760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Kihnu kruusakarjäär</w:t>
      </w:r>
    </w:p>
    <w:p w14:paraId="25657F21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4"/>
          <w:szCs w:val="24"/>
        </w:rPr>
      </w:pPr>
    </w:p>
    <w:p w14:paraId="41CAD547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sz w:val="24"/>
          <w:szCs w:val="24"/>
          <w:highlight w:val="yellow"/>
        </w:rPr>
      </w:pPr>
    </w:p>
    <w:tbl>
      <w:tblPr>
        <w:tblStyle w:val="a0"/>
        <w:tblW w:w="177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</w:tblGrid>
      <w:tr w:rsidR="00747EE7" w14:paraId="40DD889C" w14:textId="77777777">
        <w:trPr>
          <w:jc w:val="right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D8CA" w14:textId="77777777" w:rsidR="00747EE7" w:rsidRDefault="00760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KUUPÄEV</w:t>
            </w:r>
          </w:p>
        </w:tc>
      </w:tr>
    </w:tbl>
    <w:p w14:paraId="0DCEB09A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4"/>
          <w:szCs w:val="24"/>
        </w:rPr>
      </w:pPr>
    </w:p>
    <w:p w14:paraId="4D59B4F3" w14:textId="77777777" w:rsidR="00747EE7" w:rsidRDefault="0076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Üldsätted</w:t>
      </w:r>
    </w:p>
    <w:p w14:paraId="057FA02E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Käesoleva lepinguga sätestatakse Kihnu kruusakarjäärist kruusa ostmise tingimused.</w:t>
      </w:r>
    </w:p>
    <w:p w14:paraId="0C30A648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Ostja on kohustatud lähtuma Kihnu Vallavalitsuse 18.12.2020 korraldusega nr 171 kehtestatud Kihnu kruusakarjääri kasutamise korrast, mis on käesoleva lepingu lisa, ning maapõue seaduses sätestatust.</w:t>
      </w:r>
    </w:p>
    <w:p w14:paraId="4167DA05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Lepingu sõlmimise aluseks on Ostja esitatud taotlus ja se</w:t>
      </w:r>
      <w:r>
        <w:rPr>
          <w:sz w:val="24"/>
          <w:szCs w:val="24"/>
        </w:rPr>
        <w:t>lles esitatud andmed Taotlus on käesoleva lepingu lisa.</w:t>
      </w:r>
    </w:p>
    <w:p w14:paraId="4823BEB1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1E577414" w14:textId="77777777" w:rsidR="00747EE7" w:rsidRDefault="0076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Kaevandamine</w:t>
      </w:r>
    </w:p>
    <w:p w14:paraId="1C0CECB3" w14:textId="77777777" w:rsidR="00747EE7" w:rsidRDefault="00760090">
      <w:pPr>
        <w:numPr>
          <w:ilvl w:val="1"/>
          <w:numId w:val="1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Müüjal puudub karjääris laadimisteenuse osutamise võimalus. Kaevandamistöö teostab ostja.</w:t>
      </w:r>
    </w:p>
    <w:p w14:paraId="36E142CE" w14:textId="77777777" w:rsidR="00747EE7" w:rsidRDefault="00760090">
      <w:pPr>
        <w:numPr>
          <w:ilvl w:val="1"/>
          <w:numId w:val="1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Ostja kohustab laaditud kruusa koguse teatama (esitab teatise) laadimistööde lõppemisel Kihnu Vallavalitsusele vahetult peale laadimistööde lõpetamist. Juhul kui laadimistööd kestavad mitmel erineval päeval, esitab Ostja teatise igal päeval vahetult peale </w:t>
      </w:r>
      <w:r>
        <w:rPr>
          <w:sz w:val="24"/>
          <w:szCs w:val="24"/>
        </w:rPr>
        <w:t>laadimise lõpetamist.</w:t>
      </w:r>
    </w:p>
    <w:p w14:paraId="7ACCA004" w14:textId="77777777" w:rsidR="00747EE7" w:rsidRDefault="00760090">
      <w:pPr>
        <w:numPr>
          <w:ilvl w:val="1"/>
          <w:numId w:val="1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Müüjal on igal ajal õigus kontrollida laadimistööde läbiviimist, sealhulgas video vahendusel.</w:t>
      </w:r>
    </w:p>
    <w:p w14:paraId="1723A8B9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Müüja annab üle ja ostja võtab vastu Kihnu kruusakarjääris kaevandatud loodusliku kruusa vastavalt käesolevas lepingus märgitud kogusele:</w:t>
      </w:r>
    </w:p>
    <w:p w14:paraId="4E0C9101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tbl>
      <w:tblPr>
        <w:tblStyle w:val="a1"/>
        <w:tblW w:w="73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2820"/>
      </w:tblGrid>
      <w:tr w:rsidR="00747EE7" w14:paraId="698549A6" w14:textId="77777777">
        <w:trPr>
          <w:trHeight w:val="369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3BE5C" w14:textId="77777777" w:rsidR="00747EE7" w:rsidRDefault="00760090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Nimetus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AB7F3" w14:textId="77777777" w:rsidR="00747EE7" w:rsidRDefault="00760090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Kogus (m³)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FA7AA" w14:textId="77777777" w:rsidR="00747EE7" w:rsidRDefault="00760090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Hind (eur/m³)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FFC0C" w14:textId="77777777" w:rsidR="00747EE7" w:rsidRDefault="00760090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Lepingu maksumus (eur)*</w:t>
            </w:r>
          </w:p>
        </w:tc>
      </w:tr>
      <w:tr w:rsidR="00747EE7" w14:paraId="753AAFEF" w14:textId="77777777">
        <w:trPr>
          <w:trHeight w:val="315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757B9" w14:textId="77777777" w:rsidR="00747EE7" w:rsidRDefault="00760090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Looduslik kruus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D15B2" w14:textId="77777777" w:rsidR="00747EE7" w:rsidRDefault="00747EE7">
            <w:pPr>
              <w:widowControl w:val="0"/>
              <w:spacing w:line="276" w:lineRule="auto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61E10" w14:textId="77777777" w:rsidR="00747EE7" w:rsidRDefault="00747EE7">
            <w:pPr>
              <w:widowControl w:val="0"/>
              <w:spacing w:line="276" w:lineRule="auto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C21D5" w14:textId="77777777" w:rsidR="00747EE7" w:rsidRDefault="00747EE7">
            <w:pPr>
              <w:widowControl w:val="0"/>
              <w:spacing w:line="276" w:lineRule="auto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</w:tbl>
    <w:p w14:paraId="677C4F92" w14:textId="77777777" w:rsidR="00747EE7" w:rsidRDefault="007600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Käibemaksu ei lisandu</w:t>
      </w:r>
    </w:p>
    <w:p w14:paraId="270575AC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178014F7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Juhul kui lepingus märgitud kruusa kogus erineb tegelikult kaevandatud kogusest, tasutakse tegeliku mahu järgi. Tegeliku kaevandamismahu kohta koostatakse akt, mis allkirjastatakse nii Müüja kui kui Ostja poolt.</w:t>
      </w:r>
    </w:p>
    <w:p w14:paraId="27B0F42A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Punktis 2.5 sätestatud juhul jääb arveldamis</w:t>
      </w:r>
      <w:r>
        <w:rPr>
          <w:sz w:val="24"/>
          <w:szCs w:val="24"/>
        </w:rPr>
        <w:t xml:space="preserve">e aluseks kahepoolselt allkirjastatud akt. </w:t>
      </w:r>
    </w:p>
    <w:p w14:paraId="4A93BE15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Käesoleva lepingu allkirjastamisega kinnitab Ostja, et tal on võimalik määrata kaevandamistööde</w:t>
      </w:r>
      <w:r>
        <w:rPr>
          <w:color w:val="000000"/>
          <w:sz w:val="24"/>
          <w:szCs w:val="24"/>
        </w:rPr>
        <w:t xml:space="preserve"> tegemiseks vastutav spetsialist maapõueseaduse mõistes, kelle ülesanne on kaevandamist korraldada. </w:t>
      </w:r>
    </w:p>
    <w:p w14:paraId="20F008C4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338D1894" w14:textId="77777777" w:rsidR="00747EE7" w:rsidRDefault="007600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Arveldamine</w:t>
      </w:r>
    </w:p>
    <w:p w14:paraId="46F4A348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Ostja kohustub </w:t>
      </w:r>
      <w:r>
        <w:rPr>
          <w:sz w:val="24"/>
          <w:szCs w:val="24"/>
        </w:rPr>
        <w:t>kruusa eest</w:t>
      </w:r>
      <w:r>
        <w:rPr>
          <w:color w:val="000000"/>
          <w:sz w:val="24"/>
          <w:szCs w:val="24"/>
        </w:rPr>
        <w:t xml:space="preserve"> tasuma lepingu või </w:t>
      </w:r>
      <w:r>
        <w:rPr>
          <w:sz w:val="24"/>
          <w:szCs w:val="24"/>
        </w:rPr>
        <w:t>akti põhjal väljastatud arve alusel.</w:t>
      </w:r>
    </w:p>
    <w:p w14:paraId="3228DFDE" w14:textId="77777777" w:rsidR="00747EE7" w:rsidRDefault="007600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Arve tasumise tähtaeg on 7 päeva peale arve väljastamist.</w:t>
      </w:r>
    </w:p>
    <w:p w14:paraId="652111E7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40B8A4FB" w14:textId="77777777" w:rsidR="00747EE7" w:rsidRDefault="00760090">
      <w:pPr>
        <w:numPr>
          <w:ilvl w:val="0"/>
          <w:numId w:val="1"/>
        </w:numP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Eriarvamused</w:t>
      </w:r>
    </w:p>
    <w:p w14:paraId="069E17C4" w14:textId="77777777" w:rsidR="00747EE7" w:rsidRDefault="00760090">
      <w:pPr>
        <w:numPr>
          <w:ilvl w:val="1"/>
          <w:numId w:val="1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Kõik käesoleva lepingu järgi tekkinud vaidlused lahendatakse vastavalt Eesti Vabariigis k</w:t>
      </w:r>
      <w:r>
        <w:rPr>
          <w:color w:val="000000"/>
          <w:sz w:val="24"/>
          <w:szCs w:val="24"/>
        </w:rPr>
        <w:t>ehtivale seadusandlusele.</w:t>
      </w:r>
    </w:p>
    <w:p w14:paraId="7A0260DD" w14:textId="77777777" w:rsidR="00747EE7" w:rsidRDefault="00760090">
      <w:pPr>
        <w:numPr>
          <w:ilvl w:val="1"/>
          <w:numId w:val="1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Akti allkirjastamisest keeldumisel väljastatakse arve tegelikult kaevandatud kruusakoguse osas. Tegeliku koguse määrab Müüja, lähtudes materjali väljaveo hinnangust.</w:t>
      </w:r>
    </w:p>
    <w:p w14:paraId="484AF3FF" w14:textId="77777777" w:rsidR="00747EE7" w:rsidRDefault="00747EE7">
      <w:pPr>
        <w:spacing w:line="276" w:lineRule="auto"/>
        <w:ind w:left="0" w:hanging="2"/>
        <w:jc w:val="both"/>
        <w:rPr>
          <w:sz w:val="24"/>
          <w:szCs w:val="24"/>
        </w:rPr>
      </w:pPr>
    </w:p>
    <w:p w14:paraId="7E7F6542" w14:textId="77777777" w:rsidR="00747EE7" w:rsidRDefault="00760090">
      <w:pPr>
        <w:numPr>
          <w:ilvl w:val="0"/>
          <w:numId w:val="1"/>
        </w:numPr>
        <w:spacing w:line="276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Lepingu jõustumine</w:t>
      </w:r>
    </w:p>
    <w:p w14:paraId="785C9D31" w14:textId="77777777" w:rsidR="00747EE7" w:rsidRDefault="00760090">
      <w:pPr>
        <w:numPr>
          <w:ilvl w:val="1"/>
          <w:numId w:val="1"/>
        </w:numPr>
        <w:spacing w:line="276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Käesolev leping jõustub </w:t>
      </w:r>
      <w:r>
        <w:rPr>
          <w:sz w:val="24"/>
          <w:szCs w:val="24"/>
        </w:rPr>
        <w:t>poolte poolt allkirjastamisega</w:t>
      </w:r>
      <w:r>
        <w:rPr>
          <w:color w:val="000000"/>
          <w:sz w:val="24"/>
          <w:szCs w:val="24"/>
        </w:rPr>
        <w:t>.</w:t>
      </w:r>
    </w:p>
    <w:p w14:paraId="140769B3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7B6EA61B" w14:textId="77777777" w:rsidR="00747EE7" w:rsidRDefault="00760090">
      <w:pPr>
        <w:numPr>
          <w:ilvl w:val="0"/>
          <w:numId w:val="1"/>
        </w:numPr>
        <w:spacing w:line="276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Lepingu pooled</w:t>
      </w:r>
    </w:p>
    <w:tbl>
      <w:tblPr>
        <w:tblStyle w:val="a2"/>
        <w:tblW w:w="80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640"/>
        <w:gridCol w:w="3210"/>
      </w:tblGrid>
      <w:tr w:rsidR="00747EE7" w14:paraId="349F7B61" w14:textId="77777777">
        <w:trPr>
          <w:trHeight w:val="319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4ED8" w14:textId="77777777" w:rsidR="00747EE7" w:rsidRDefault="00747EE7">
            <w:pPr>
              <w:widowControl w:val="0"/>
              <w:spacing w:line="276" w:lineRule="auto"/>
              <w:ind w:left="0" w:hanging="2"/>
              <w:rPr>
                <w:b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AA2E" w14:textId="77777777" w:rsidR="00747EE7" w:rsidRDefault="00760090">
            <w:pPr>
              <w:widowControl w:val="0"/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Müüja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8E43" w14:textId="77777777" w:rsidR="00747EE7" w:rsidRDefault="00760090">
            <w:pPr>
              <w:widowControl w:val="0"/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Ostja</w:t>
            </w:r>
          </w:p>
        </w:tc>
      </w:tr>
      <w:tr w:rsidR="00747EE7" w14:paraId="577D0628" w14:textId="77777777">
        <w:trPr>
          <w:trHeight w:val="33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0650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Nimi: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0F3E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Kihnu Vallavalitsus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91BF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  <w:tr w:rsidR="00747EE7" w14:paraId="273CA7FE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0817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Registrikood: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5936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75003967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3407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  <w:tr w:rsidR="00747EE7" w14:paraId="6940D056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7EA2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Aadress: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F201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Kooli, Linaküla, Kihnu vald, Pärnumaa, 88005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F273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  <w:tr w:rsidR="00747EE7" w14:paraId="719076AB" w14:textId="77777777">
        <w:trPr>
          <w:trHeight w:val="255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53AC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Kontakttelefon: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E4EB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44 69 910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F9E4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  <w:tr w:rsidR="00747EE7" w14:paraId="5E869D5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6BF7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E-mail: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C7AA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info@kihnu.ee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6B92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  <w:tr w:rsidR="00747EE7" w14:paraId="69AB094E" w14:textId="77777777">
        <w:trPr>
          <w:trHeight w:val="315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5875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Esindusõiguslik isik: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8280" w14:textId="5481637D" w:rsidR="00747EE7" w:rsidRDefault="00760090">
            <w:pPr>
              <w:widowControl w:val="0"/>
              <w:spacing w:line="276" w:lineRule="auto"/>
              <w:ind w:left="0" w:hanging="2"/>
            </w:pPr>
            <w:r>
              <w:t>Egon Vohu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6E65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  <w:tr w:rsidR="00747EE7" w14:paraId="6078C7E7" w14:textId="77777777">
        <w:trPr>
          <w:trHeight w:val="345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F5C3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Esindusõiguse alus: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206B" w14:textId="77777777" w:rsidR="00747EE7" w:rsidRDefault="00760090">
            <w:pPr>
              <w:widowControl w:val="0"/>
              <w:spacing w:line="276" w:lineRule="auto"/>
              <w:ind w:left="0" w:hanging="2"/>
            </w:pPr>
            <w:r>
              <w:t>Põhimäärus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75E6" w14:textId="77777777" w:rsidR="00747EE7" w:rsidRDefault="00747EE7">
            <w:pPr>
              <w:widowControl w:val="0"/>
              <w:spacing w:line="276" w:lineRule="auto"/>
              <w:ind w:left="0" w:hanging="2"/>
            </w:pPr>
          </w:p>
        </w:tc>
      </w:tr>
    </w:tbl>
    <w:p w14:paraId="1499D079" w14:textId="77777777" w:rsidR="00747EE7" w:rsidRDefault="00747EE7">
      <w:pPr>
        <w:spacing w:line="276" w:lineRule="auto"/>
        <w:ind w:left="0" w:hanging="2"/>
        <w:jc w:val="both"/>
      </w:pPr>
    </w:p>
    <w:p w14:paraId="6BDF667B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746B632F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56C8EE7F" w14:textId="77777777" w:rsidR="00747EE7" w:rsidRDefault="00760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rPr>
          <w:i/>
          <w:sz w:val="24"/>
          <w:szCs w:val="24"/>
        </w:rPr>
        <w:t>Leping on allkirjastatud digitaalselt</w:t>
      </w:r>
    </w:p>
    <w:p w14:paraId="757251AE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3DB46E5B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p w14:paraId="4DFA737F" w14:textId="77777777" w:rsidR="00747EE7" w:rsidRDefault="00760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  <w:r>
        <w:pict w14:anchorId="2019E096">
          <v:rect id="_x0000_i1025" style="width:0;height:1.5pt" o:hralign="center" o:hrstd="t" o:hr="t" fillcolor="#a0a0a0" stroked="f"/>
        </w:pict>
      </w:r>
    </w:p>
    <w:p w14:paraId="1C2DB232" w14:textId="77777777" w:rsidR="00747EE7" w:rsidRDefault="00747E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4"/>
          <w:szCs w:val="24"/>
        </w:rPr>
      </w:pPr>
    </w:p>
    <w:sectPr w:rsidR="00747EE7">
      <w:pgSz w:w="11906" w:h="16838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EE5"/>
    <w:multiLevelType w:val="multilevel"/>
    <w:tmpl w:val="C30A00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A64788"/>
    <w:multiLevelType w:val="multilevel"/>
    <w:tmpl w:val="D746180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383627996">
    <w:abstractNumId w:val="0"/>
  </w:num>
  <w:num w:numId="2" w16cid:durableId="100652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E7"/>
    <w:rsid w:val="00747EE7"/>
    <w:rsid w:val="007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616D"/>
  <w15:docId w15:val="{51F2B083-7AB4-48C8-944D-8E659CF5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AU" w:eastAsia="ru-RU"/>
    </w:rPr>
  </w:style>
  <w:style w:type="paragraph" w:styleId="Pealkiri1">
    <w:name w:val="heading 1"/>
    <w:basedOn w:val="Normaallaad"/>
    <w:next w:val="Normaallaad"/>
    <w:uiPriority w:val="9"/>
    <w:qFormat/>
    <w:pPr>
      <w:keepNext/>
    </w:pPr>
    <w:rPr>
      <w:b/>
      <w:sz w:val="24"/>
      <w:lang w:val="et-EE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outlineLvl w:val="1"/>
    </w:pPr>
    <w:rPr>
      <w:sz w:val="24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okumendiplaan">
    <w:name w:val="Document Map"/>
    <w:basedOn w:val="Normaallaad"/>
    <w:pPr>
      <w:shd w:val="clear" w:color="auto" w:fill="000080"/>
    </w:pPr>
    <w:rPr>
      <w:rFonts w:ascii="Tahoma" w:hAnsi="Tahoma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pPr>
      <w:ind w:left="708"/>
    </w:p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Jz6m53m/dPZzkTAON/FrZII0+A==">AMUW2mWnYfZr+avF3zbWe+GpckdogmCMXAkGhFGZQEELX6VgnlORiLPdPBvbasrRslPoUZM6RH085cPjlpNOS8TVlsMD4r7ZOELzvSY+dPAV7f4SUn5jppM=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Ruus</dc:creator>
  <cp:lastModifiedBy>Kihnu Vallavalitsus</cp:lastModifiedBy>
  <cp:revision>2</cp:revision>
  <dcterms:created xsi:type="dcterms:W3CDTF">2020-12-18T11:26:00Z</dcterms:created>
  <dcterms:modified xsi:type="dcterms:W3CDTF">2022-05-31T10:52:00Z</dcterms:modified>
</cp:coreProperties>
</file>